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«Разговор о правильном питании»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 1-6 классов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8"/>
          <w:szCs w:val="28"/>
          <w:lang w:eastAsia="ru-RU"/>
        </w:rPr>
        <w:t>2015 – 2021  учебный год</w:t>
      </w:r>
    </w:p>
    <w:p w:rsidR="00F5503C" w:rsidRPr="00F5503C" w:rsidRDefault="00F5503C" w:rsidP="00F5503C">
      <w:pPr>
        <w:spacing w:before="240" w:after="24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en-US" w:eastAsia="ru-RU"/>
        </w:rPr>
        <w:t>I</w:t>
      </w:r>
      <w:r w:rsidRPr="00F5503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. Пояснительная записка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«Разговор о правильном питании</w:t>
      </w:r>
      <w:proofErr w:type="gram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Программа) составлена на основе Федерального государственного образовательного стандарта, письма Департамента воспитания и социализации детей «О реализации программы «Разговор о правильном питании» № 06-368 от 01.03.2011 года, образовательной программы разработанной специалистами Института возрастной физиологии Российской академии образования под руководством М.М.  Безруких, директора этого института, академика РАО и методического пособия для учителей/ Безруких М.М., Филиппова Т.А., Макеева А.Г.- М.: ОЛМА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2011.Содержание программы базируется на российских кулинарных традициях и имеет строго научное обоснование. Консультационную поддержку программе оказывает Институт питания РАМН.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Актуальность Программы заключается в том, что в настоящее время наблюдается увеличение числа больных детей по стране, по региону. Необходимо формировать ЗОЖ, начиная с раннего возраста.</w:t>
      </w:r>
    </w:p>
    <w:p w:rsidR="00F5503C" w:rsidRPr="00F5503C" w:rsidRDefault="00F5503C" w:rsidP="00F5503C">
      <w:pPr>
        <w:spacing w:after="0" w:line="316" w:lineRule="atLeast"/>
        <w:ind w:left="2552" w:hanging="2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программы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: формирование у детей  основ культуры питания как одной из составляющих здорового образа жизни.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программы предполагает решение следующих образовательных и воспитательных задач: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формирование и развитие представления детей о здоровье, как одной из важнейших человеческих ценностей, формирование готовности заботиться и укреплять собственное здоровье;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освоение детьми и подростками практических навыков рационального питания;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 формирование представления о </w:t>
      </w:r>
      <w:proofErr w:type="spellStart"/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социокультурных</w:t>
      </w:r>
      <w:proofErr w:type="spellEnd"/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аспектах питания как составляющей общей культуры человека;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информирование детей и подростков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• развитие творческих способностей и кругозора у детей и подростков, их интересов и познавательной деятельности;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развитие коммуникативных навыков у детей и подростков, умения эффективно взаимодействовать со сверстниками и взрослыми в процессе решения проблемы;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 просвещение родителей в вопросах организации рационального питания детей и подростков.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на основе следующих принципов: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 (учет возрастных и индивидуальных особенностей познавательной деятельности детей младшего школьного возраста);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 (иллюстративность, наличие дидактических материалов);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научности (обоснованность, наличие методологической базы и теоретической основы);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демократичности (взаимодействие педагога и ученика в социуме);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актуализации знаний и умений (учебные ситуации предлагаются с точки зрения потребностей младших школьников);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процесса обучения (удовлетворение потребности детей данного возраста в игре и эмоционально-наглядной опоре).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Новизна Программы заключается в учёте традиций питания, активном вовлечении в работу родителей.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Общая характеристика Программы: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        Цель Программы  «Разговор о правильном питании» - формирование у детей основных представлений и навыков рационального питания, связанных с соблюдением режима, правил гигиены, умением выбирать полезные продукты и блюда.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Преимущество программы заключается в том, что её материал носит практико-ориентированный характер,  актуален для детей. Всё, что они узнают и чему учатся на занятиях, они могут применить дома и в гостях уже сегодня. </w:t>
      </w:r>
    </w:p>
    <w:p w:rsidR="00F5503C" w:rsidRPr="00F5503C" w:rsidRDefault="00F5503C" w:rsidP="00F5503C">
      <w:pPr>
        <w:spacing w:before="100" w:beforeAutospacing="1" w:after="0" w:line="316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     Программа  «Разговор о правильном питании» предполагает активное  участие и  максимальное вовлечение детей 1-6 классов  в  поисковую работу, в  отработку знаний,  навыков в определении продуктов правильного питания,  понятий о витаминном составе продуктов, целесообразности трёхразового полноценного питания, расширение представлений о многообразии фруктов и овощей  своего региона.</w:t>
      </w:r>
    </w:p>
    <w:p w:rsidR="00F5503C" w:rsidRPr="00F5503C" w:rsidRDefault="00F5503C" w:rsidP="00F5503C">
      <w:pPr>
        <w:spacing w:before="100" w:beforeAutospacing="1" w:after="0" w:line="316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 носит интерактивный характер, стимулирующий непосредственное участие школьников в процессе обучения, пробуждающий интерес и желание соблюдать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 питания и заботиться о собственном здоровье. Для организации процесса обучения используются различные типы игр (ролевые, ситуационные), создание проектов, проведение мини-тренингов, дискуссий. Большое значение уделяется самостоятельной творческой деятельности школьников (поиску новой информации, подготовке заданий и т.д.).</w:t>
      </w:r>
    </w:p>
    <w:p w:rsidR="00F5503C" w:rsidRPr="00F5503C" w:rsidRDefault="00F5503C" w:rsidP="00F5503C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многих других обучающих программ, «Разговор о правильном питании»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F5503C" w:rsidRPr="00F5503C" w:rsidRDefault="00F5503C" w:rsidP="00F5503C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F5503C" w:rsidRPr="00F5503C" w:rsidRDefault="00F5503C" w:rsidP="00F5503C">
      <w:pPr>
        <w:spacing w:before="100" w:beforeAutospacing="1" w:after="0" w:line="316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Одно из важнейших условий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эффективногореализации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— поддержка родителей. Поэтому в «Разговоре о правильном питании» часть заданий ориентирована на совместную деятельность детей и взрослых. Родители также участвуют в подготовке и проведении различных мероприятий — праздников, конкурсов, викторин. 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изучения </w:t>
      </w:r>
      <w:proofErr w:type="spellStart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Программыиспользуются</w:t>
      </w:r>
      <w:proofErr w:type="spell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разнообразные формы и методы, обеспечивающие  непосредственное участие детей в работе по программе, стимулирующие их интерес к изучаемому материалу, дающие возможность проявить свои творческие способности.   Содержание  Программы, а также используемые формы  и методы её реализации носят игровой характер, развивают познавательный интерес к проблеме питания и формирования ЗОЖ, что наиболее соответствует возрастным особенностям детей, обеспечивает условия для активного включения их в процесс обучения и стимулирует активное присвоение предъявляемых ценностных нормативов и </w:t>
      </w:r>
      <w:proofErr w:type="spellStart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навыков</w:t>
      </w:r>
      <w:proofErr w:type="gramStart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оскольку</w:t>
      </w:r>
      <w:proofErr w:type="spell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 является ведущей деятельностью для младших школьников, то и игровые методы являются основой организации </w:t>
      </w:r>
      <w:proofErr w:type="gramStart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Программе</w:t>
      </w:r>
      <w:proofErr w:type="gram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. Можно выделить несколько типов игр, комбинация которых обеспечит эффективность процесса обучения: сюжетно-ролевая игра, игра с правилами, образно-ролевая игра.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>Формы обучения: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Ведущими формами деятельности предполагаются: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lastRenderedPageBreak/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чтение и обсуждение;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занятия;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 – проекты;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работа с родителями.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0" w:line="31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Методы:</w:t>
      </w:r>
    </w:p>
    <w:p w:rsidR="00F5503C" w:rsidRPr="00F5503C" w:rsidRDefault="00F5503C" w:rsidP="00F5503C">
      <w:pPr>
        <w:spacing w:before="100" w:beforeAutospacing="1" w:after="0" w:line="31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proofErr w:type="gramStart"/>
      <w:r w:rsidRPr="00F5503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Репродуктивный</w:t>
      </w:r>
      <w:proofErr w:type="gram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 – (беседа, вопросы, тесты, анкетирование).</w:t>
      </w:r>
    </w:p>
    <w:p w:rsidR="00F5503C" w:rsidRPr="00F5503C" w:rsidRDefault="00F5503C" w:rsidP="00F5503C">
      <w:pPr>
        <w:spacing w:before="100" w:beforeAutospacing="1" w:after="0" w:line="31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Проблемный </w:t>
      </w:r>
    </w:p>
    <w:p w:rsidR="00F5503C" w:rsidRPr="00F5503C" w:rsidRDefault="00F5503C" w:rsidP="00F5503C">
      <w:pPr>
        <w:spacing w:before="100" w:beforeAutospacing="1" w:after="0" w:line="31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 – (творческие задания:</w:t>
      </w:r>
      <w:proofErr w:type="gramEnd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для моей семьи. Любимые блюда мамы. </w:t>
      </w:r>
      <w:proofErr w:type="gramStart"/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Чем тебя накормит лес).</w:t>
      </w:r>
      <w:proofErr w:type="gramEnd"/>
    </w:p>
    <w:p w:rsidR="00F5503C" w:rsidRPr="00F5503C" w:rsidRDefault="00F5503C" w:rsidP="00F5503C">
      <w:pPr>
        <w:spacing w:before="100" w:beforeAutospacing="1" w:after="0" w:line="316" w:lineRule="atLeast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Объяснительно-иллюстративный.</w:t>
      </w:r>
    </w:p>
    <w:p w:rsidR="00F5503C" w:rsidRPr="00F5503C" w:rsidRDefault="00F5503C" w:rsidP="00F5503C">
      <w:pPr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занятий у каждого ребёнка должна быть своя рабочая тетрадь/ М.М. Безруких, Т.А.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Филиппова</w:t>
      </w:r>
      <w:proofErr w:type="gram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ОЛМА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2011., в которой бы он мог выполнять задания. Не допускается использование одной тетради несколькими учениками</w:t>
      </w:r>
    </w:p>
    <w:p w:rsidR="00F5503C" w:rsidRPr="00F5503C" w:rsidRDefault="00F5503C" w:rsidP="00F5503C">
      <w:pPr>
        <w:spacing w:after="0" w:line="316" w:lineRule="atLeast"/>
        <w:ind w:left="142" w:firstLine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Описание</w:t>
      </w:r>
      <w:proofErr w:type="gramStart"/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места</w:t>
      </w:r>
      <w:proofErr w:type="gramEnd"/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в учебном плане.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программы  «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о правильном питании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проводится  </w:t>
      </w:r>
      <w:proofErr w:type="gramStart"/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модулям: 1-2 класс; 3-4 класс; 5-6 класс. Важность этого курса  для младших школьников подчеркивается тем, что он осуществляется в рамках программы формирования культуры здорового и безопасного образа жизни,   рекомендованного для внеурочной деятельности новым стандартом.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Программа  «Разговор о правильном питании»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с 1 по 6 класс по одному  часу в месяц:  1 класс – 7 часов, 2 класс – 8 часов, 3 класс – 7 часов, 4 класс – 8 часов</w:t>
      </w:r>
      <w:r w:rsidRPr="00F5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класс – 7 часов, 6 класс – 8 часов</w:t>
      </w:r>
      <w:r w:rsidRPr="00F5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Общий объём учебного времени составляет 45 часов.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Личностные, </w:t>
      </w:r>
      <w:proofErr w:type="spellStart"/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предметные результаты освоения программы.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Одним из результатов преподавания программы «Разговор о правильном питании» является решение задач воспитания – осмысление и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интериоризация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(присвоение) младшими школьниками системы ценностей.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жизни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природы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общечеловеческой ценности жизни, на осознании себя частью природного мира </w:t>
      </w:r>
      <w:r w:rsidRPr="00F5503C">
        <w:rPr>
          <w:rFonts w:ascii="Times New Roman" w:eastAsia="Times New Roman" w:hAnsi="Times New Roman" w:cs="Times New Roman"/>
          <w:color w:val="0000FF"/>
          <w:spacing w:val="4"/>
          <w:sz w:val="24"/>
          <w:szCs w:val="24"/>
          <w:lang w:eastAsia="ru-RU"/>
        </w:rPr>
        <w:sym w:font="Symbol" w:char="002D"/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человека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добра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любви.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истины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Ценность семьи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семьи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какпервой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Ценность гражданственности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программы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Универсальными компетенциями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учащихся на этапе начального общего образования по формированию здорового и безопасного образа жизни являются:                                                                                                                       умения организовывать собственную деятельность, выбирать и использовать средства для достижения её цели;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Личностными результатами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</w:t>
      </w:r>
    </w:p>
    <w:p w:rsidR="00F5503C" w:rsidRPr="00F5503C" w:rsidRDefault="00F5503C" w:rsidP="00F5503C">
      <w:pPr>
        <w:tabs>
          <w:tab w:val="left" w:pos="-284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свой рацион и режим питания с точки зрения соответствия  требованиям здорового образа жизни и с учётом границ личностной активности корректировать несоответствия;                                                           оказывать бескорыстную помощь своим сверстникам, находить с ними общий язык и общие интересы.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5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F550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    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ошибки при выполнении учебных заданий, отбирать способы их исправления;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общаться и взаимодействовать со сверстниками на принципах взаимоуважения и взаимопомощи, дружбы и толерантности;           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 и объективно оценивать результаты собственного труда, находить возможности и способы их улучшения;           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красоту телосложения и осанки, сравнивать их с эталонными образцами.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ассортименте наиболее типичных продуктов питания, сознательно выбирая наиболее полезные;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свой рацион и режим питания с точки зрения соответствия  требованиям здорового образа жизни и с учётом границ личностной активности корректировать несоответствия;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color w:val="000000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и навыки, связанные с этикетом в области питания, установки, личностные ориентиры и нормы  поведения, обеспечивающие  сохранение и укрепление физического, психологического и социального здоровья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    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 и элементы соревнований;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F5503C">
        <w:rPr>
          <w:rFonts w:ascii="Times New Roman" w:eastAsia="Symbol" w:hAnsi="Times New Roman" w:cs="Times New Roman"/>
          <w:sz w:val="14"/>
          <w:szCs w:val="14"/>
          <w:lang w:eastAsia="ru-RU"/>
        </w:rPr>
        <w:t xml:space="preserve">        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 </w:t>
      </w:r>
      <w:proofErr w:type="gramStart"/>
      <w:r w:rsidRPr="00F5503C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V</w:t>
      </w:r>
      <w:r w:rsidRPr="00F5503C">
        <w:rPr>
          <w:rFonts w:ascii="Times New Roman" w:eastAsia="Times New Roman" w:hAnsi="Times New Roman" w:cs="Times New Roman"/>
          <w:sz w:val="24"/>
          <w:szCs w:val="28"/>
          <w:lang w:eastAsia="ru-RU"/>
        </w:rPr>
        <w:t>. Содержание Программы.</w:t>
      </w:r>
      <w:proofErr w:type="gramEnd"/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состоит из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трех модулей</w:t>
      </w:r>
      <w:r w:rsidRPr="00F550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модуль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«Разговор о правильном питании» - для детей 7-8 лет.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 модуль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«Две недели в лагере здоровья» - для детей 9-10 лет.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 модуль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: «Формула правильного питания» - для детей 10-12 лет.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Тематика программы охватывает различные аспекты рационального питания: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1 модуль "Разговор о правильном питании"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питания: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"Самые полезные продукты",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"Что надо есть, если хочешь стать сильнее",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"Где найти витамины весной",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"Овощи, ягоды и фрукты - самые витаминные продукты",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"Каждому овощу свое время";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гигиена питания: "Как правильно есть";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 питания: "Удивительные превращения пирожка";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рацион питания: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"Из чего варят каши и как сделать кашу вкусной",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"Плох обед, если хлеба нет",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"Полдник. Время есть булочки",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"Пора ужинать",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"Если хочется пить";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культура питания: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"На вкус и цвет товарищей нет",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"День рождения </w:t>
      </w:r>
      <w:proofErr w:type="spellStart"/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Зелибобы</w:t>
      </w:r>
      <w:proofErr w:type="spellEnd"/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модуль "</w:t>
      </w:r>
      <w:r w:rsidRPr="00F55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Две недели в лагере здоровья"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разнообразие питания: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"Из чего состоит наша пища",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"Что нужно есть в разное время года",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питаться, если занимаешься спортом";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 питания и приготовление пищи: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"Где и как готовят пищу",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"Что можно приготовить, если выбор продуктов ограничен";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этикет: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накрыть стол",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правильно вести себя за столом";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 питания: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"Молоко и молочные продукты",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"Блюда из зерна",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"Какую пищу можно найти в лесу",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"Что и как приготовить из рыбы",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"Дары моря";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традиции и культура питания: "Кулинарное путешествие по России".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 модуль</w:t>
      </w:r>
      <w:r w:rsidRPr="00F5503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"Формула правильного питания"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рациональное питание как часть здорового образа жизни: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"Здоровье - это здорово";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"Продукты разные нужны, продукты разные важны",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питания: "Режим питания",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адекватность питания: "Энергия пищи",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гигиена питания и приготовление пищи: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"Где и как мы едим",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"Ты готовишь себе и друзьям";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потребительская культура: "Ты - покупатель";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традиции и культура питания: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"Кухни разных народов",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"Кулинарное путешествие",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"Как питались на Руси и в России",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"Необычное кулинарное путешествие".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каждого модуля подготовлен учебно-методический комплект, включающий яркие красочные тетради для учащихся, методические пособия для педагогов и плакаты.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50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iCs/>
          <w:color w:val="222222"/>
          <w:sz w:val="24"/>
          <w:szCs w:val="24"/>
          <w:u w:val="single"/>
          <w:lang w:eastAsia="ru-RU"/>
        </w:rPr>
        <w:t xml:space="preserve">Основные методы обучения: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фронтальный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групповой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практический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познавательная игра;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ситуационный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игровой метод; 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соревновательный метод;</w:t>
      </w:r>
    </w:p>
    <w:p w:rsidR="00F5503C" w:rsidRPr="00F5503C" w:rsidRDefault="00F5503C" w:rsidP="00F5503C">
      <w:pPr>
        <w:spacing w:before="100" w:beforeAutospacing="1"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активные методы обучения.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Формы обучения: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Ведущими формами деятельности предполагаются: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чтение и обсуждение;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экскурсии на пищеблок школьной столовой, продовольственный магазин, хлебопекарные предприятия;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встречи с интересными людьми; 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практические занятия;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творческие домашние задания;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праздники хлеба, рыбных блюд и т.д.;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конкурсы (рисунков, рассказов, рецептов);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ярмарки полезных продуктов;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сюжетно-ролевая игра, игра с правилами, образно-ролевая игра;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 – проекты;</w:t>
      </w:r>
    </w:p>
    <w:p w:rsidR="00F5503C" w:rsidRPr="00F5503C" w:rsidRDefault="00F5503C" w:rsidP="00F5503C">
      <w:pPr>
        <w:spacing w:after="0" w:line="240" w:lineRule="auto"/>
        <w:ind w:left="1004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color w:val="222222"/>
          <w:sz w:val="24"/>
          <w:szCs w:val="24"/>
          <w:lang w:eastAsia="ru-RU"/>
        </w:rPr>
        <w:t></w:t>
      </w:r>
      <w:r w:rsidRPr="00F5503C">
        <w:rPr>
          <w:rFonts w:ascii="Times New Roman" w:eastAsia="Wingdings" w:hAnsi="Times New Roman" w:cs="Times New Roman"/>
          <w:color w:val="222222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совместная работа с родителями.</w:t>
      </w:r>
    </w:p>
    <w:p w:rsidR="00F5503C" w:rsidRPr="00F5503C" w:rsidRDefault="00F5503C" w:rsidP="00F5503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0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Материально-техническое обеспечение образовательного процесса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младших школьников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 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  культуры человеческого общества.                                                                              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главную роль играют средства обучения, включающие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наглядные пособия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гербарии </w:t>
      </w:r>
      <w:proofErr w:type="gram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;п</w:t>
      </w:r>
      <w:proofErr w:type="gram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родукты питания; микропрепараты; столовые приборы; бытовые приборы для кухни;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изобразительные наглядные пособия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таблицы; муляжи, схемы, плакаты.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Другим средством наглядности служит оборудование для </w:t>
      </w:r>
      <w:proofErr w:type="spellStart"/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мультимедийных</w:t>
      </w:r>
      <w:proofErr w:type="spellEnd"/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демонстраций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компьютер, </w:t>
      </w:r>
      <w:proofErr w:type="spellStart"/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медиапроектор</w:t>
      </w:r>
      <w:proofErr w:type="spellEnd"/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 DVD-проектор,  видеомагнитофон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 др.) и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 фиксации окружающего мира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фото- и видеокамера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принципом наглядности  в изучении программы «Разговор о правильном питании» в начальной школе важную роль играет принцип предметности, в соответствии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которым учащиеся осуществляют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разнообразные действия с изучаемыми объектами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ходе подобной деятельности у школьников формируются практические умения и навыки, обеспечивается осознанное усвоение изучаемого материала.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у учащихся начинают формироваться познавательные интересы, познавательная мотивация. В этом возрасте у большинства школьников выражен интерес к изучению природы, человеческих взаимоотношений, поэтому изучение курса «Разговор о правильном питании», насыщенного сведениями о живой и неживой природе, организме человека, различных сторонах общественной жизни, должно стимулировать формирование устойчивого познавательного интереса, его дальнейшее развитие. Этому в значительной мере способствует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практико-ориентированный характер содержания программы  «Разговор о правильном питании», а также использование в ходе его изучения разнообразных средств обучения. К ним </w:t>
      </w:r>
      <w:proofErr w:type="gram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</w:t>
      </w:r>
      <w:r w:rsidRPr="00F5503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набор энциклопедий для младших школьников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позволяющий организовать поиск интересующей детей информации.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VII.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Тематическое планирование.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2446"/>
        <w:gridCol w:w="2737"/>
        <w:gridCol w:w="4388"/>
      </w:tblGrid>
      <w:tr w:rsidR="00F5503C" w:rsidRPr="00F5503C" w:rsidTr="00F5503C">
        <w:trPr>
          <w:trHeight w:val="381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часов 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Модуль</w:t>
            </w:r>
          </w:p>
        </w:tc>
      </w:tr>
      <w:tr w:rsidR="00F5503C" w:rsidRPr="00F5503C" w:rsidTr="00F5503C">
        <w:trPr>
          <w:trHeight w:val="381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1-2 класс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(7+8) часов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модуль</w:t>
            </w:r>
            <w:r w:rsidRPr="00F5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«Разговор о правильном питании» - для детей 7-8 лет.                                                                </w:t>
            </w:r>
          </w:p>
          <w:p w:rsidR="00F5503C" w:rsidRPr="00F5503C" w:rsidRDefault="00F5503C" w:rsidP="00F5503C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5503C" w:rsidRPr="00F5503C" w:rsidTr="00F5503C">
        <w:trPr>
          <w:trHeight w:val="381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3-4 класс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(7+8) часов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модуль</w:t>
            </w:r>
            <w:r w:rsidRPr="00F5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«Две недели в лагере здоровья» - для детей 9-10 лет</w:t>
            </w:r>
          </w:p>
        </w:tc>
      </w:tr>
      <w:tr w:rsidR="00F5503C" w:rsidRPr="00F5503C" w:rsidTr="00F5503C">
        <w:trPr>
          <w:trHeight w:val="367"/>
        </w:trPr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5-6 класс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 (7+8) часов</w:t>
            </w:r>
          </w:p>
        </w:tc>
        <w:tc>
          <w:tcPr>
            <w:tcW w:w="3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503C" w:rsidRPr="00F5503C" w:rsidRDefault="00F5503C" w:rsidP="00F550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модуль</w:t>
            </w:r>
            <w:r w:rsidRPr="00F5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«Формула правильного питания» - для детей 10-12 лет.</w:t>
            </w:r>
          </w:p>
          <w:p w:rsidR="00F5503C" w:rsidRPr="00F5503C" w:rsidRDefault="00F5503C" w:rsidP="00F5503C">
            <w:pPr>
              <w:spacing w:before="100" w:beforeAutospacing="1" w:after="100" w:afterAutospacing="1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5503C" w:rsidRPr="00F5503C" w:rsidRDefault="00F5503C" w:rsidP="00F5503C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50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F550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Планируемые результаты реализации Программы.</w:t>
      </w:r>
    </w:p>
    <w:p w:rsidR="00F5503C" w:rsidRPr="00F5503C" w:rsidRDefault="00F5503C" w:rsidP="00F5503C">
      <w:pPr>
        <w:spacing w:before="100" w:beforeAutospacing="1" w:after="0" w:line="31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изучения курса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  В результате изучения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«Разговор о правильном питании» младшие школьники получат </w:t>
      </w: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lastRenderedPageBreak/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правилах и основах рационального питания,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соблюдения гигиены питания;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полезных продуктах питания;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структуре ежедневного рациона питания;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ассортименте наиболее типичных продуктов питания;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особенностях питания в летний и зимний периоды, причинах вызывающих изменение в рационе питания;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группах питательных веществ – белках, жирах, углеводах, витаминах и минеральных солях, функциях этих веществ в организме;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полученные знания позволят детям ориентироваться в ассортименте наиболее типичных продуктов питания, сознательно выбирать наиболее полезные;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смогут оценивать свой рацион и режим питания с точки зрения соответствия требованиям здорового образа жизни и с учётом границ личностной активности корректировать несоответствия;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Wingdings" w:eastAsia="Wingdings" w:hAnsi="Wingdings" w:cs="Wingdings"/>
          <w:sz w:val="24"/>
          <w:szCs w:val="24"/>
          <w:lang w:eastAsia="ru-RU"/>
        </w:rPr>
        <w:t></w:t>
      </w:r>
      <w:r w:rsidRPr="00F5503C">
        <w:rPr>
          <w:rFonts w:ascii="Times New Roman" w:eastAsia="Wingdings" w:hAnsi="Times New Roman" w:cs="Times New Roman"/>
          <w:sz w:val="14"/>
          <w:szCs w:val="14"/>
          <w:lang w:eastAsia="ru-RU"/>
        </w:rPr>
        <w:t xml:space="preserve">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получат знания и навыки, связанные с этикетом в области питания с, что в определённой степени повлияет на успешность их социальной адаптации, установление контактов с другими людьми.        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усвоения программы проводится в форме анкетирования, тестирования, выполнения творческих заданий.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Подведение итогов реализации программы проводится в виде выставок работ учащихся, праздников, игр, викторин. В том числе: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выставок работ учащихся в классе, школе;</w:t>
      </w:r>
    </w:p>
    <w:p w:rsidR="00F5503C" w:rsidRPr="00F5503C" w:rsidRDefault="00F5503C" w:rsidP="00F55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оформление выставки фотографий «Мы – за здоровое питание»</w:t>
      </w:r>
    </w:p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5503C" w:rsidRPr="00F5503C" w:rsidRDefault="00F5503C" w:rsidP="00F5503C">
      <w:pPr>
        <w:spacing w:before="100" w:beforeAutospacing="1" w:after="100" w:afterAutospacing="1" w:line="36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5503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«Разговор о правильном питании» М.М.Безруких, Т.А.Филиппова, А.Г.Макеева М.ОЛМА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2009.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F5503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«Две недели в лагере здоровья» М.М.Безруких, Т.А.Филиппова, А.Г.Макеева М.ОЛМА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2009. 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5503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«Формула правильного питания» М.М.Безруких, Т.А.Филиппова, А.Г.Макеева М.ОЛМА </w:t>
      </w:r>
      <w:proofErr w:type="spellStart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 2009.</w:t>
      </w:r>
    </w:p>
    <w:p w:rsidR="00F5503C" w:rsidRPr="00F5503C" w:rsidRDefault="00F5503C" w:rsidP="00F5503C">
      <w:p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5503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  </w:t>
      </w:r>
      <w:r w:rsidRPr="00F550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Nestle</w:t>
      </w:r>
      <w:r w:rsidRPr="00F550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«Разговор о правильном питании» </w:t>
      </w:r>
      <w:hyperlink r:id="rId4" w:history="1"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food</w:t>
        </w:r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websib</w:t>
        </w:r>
        <w:proofErr w:type="spellEnd"/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F550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</w:p>
    <w:p w:rsidR="005B0091" w:rsidRDefault="005B0091"/>
    <w:sectPr w:rsidR="005B0091" w:rsidSect="005B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03C"/>
    <w:rsid w:val="005B0091"/>
    <w:rsid w:val="00F5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5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style"/>
    <w:basedOn w:val="a"/>
    <w:rsid w:val="00F5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3"/>
    <w:basedOn w:val="a"/>
    <w:rsid w:val="00F5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550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ood.webs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3413</Words>
  <Characters>19460</Characters>
  <Application>Microsoft Office Word</Application>
  <DocSecurity>0</DocSecurity>
  <Lines>162</Lines>
  <Paragraphs>45</Paragraphs>
  <ScaleCrop>false</ScaleCrop>
  <Company/>
  <LinksUpToDate>false</LinksUpToDate>
  <CharactersWithSpaces>22828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2018-01-10T12:48:00Z</dcterms:created>
  <dcterms:modified xsi:type="dcterms:W3CDTF">2018-01-10T12:53:00Z</dcterms:modified>
</cp:coreProperties>
</file>